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楷体" w:hAnsi="华文楷体" w:eastAsia="华文楷体"/>
          <w:b/>
          <w:sz w:val="36"/>
          <w:szCs w:val="36"/>
        </w:rPr>
      </w:pPr>
      <w:r>
        <w:rPr>
          <w:rFonts w:hint="eastAsia" w:ascii="华文楷体" w:hAnsi="华文楷体" w:eastAsia="华文楷体"/>
          <w:b/>
          <w:sz w:val="36"/>
          <w:szCs w:val="36"/>
        </w:rPr>
        <w:t>MPDU说明书</w:t>
      </w:r>
    </w:p>
    <w:p>
      <w:pPr>
        <w:pStyle w:val="10"/>
        <w:numPr>
          <w:ilvl w:val="0"/>
          <w:numId w:val="1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产品名称</w:t>
      </w:r>
    </w:p>
    <w:p>
      <w:pPr>
        <w:pStyle w:val="10"/>
        <w:ind w:left="420" w:firstLine="0"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智能电流表</w:t>
      </w:r>
    </w:p>
    <w:p>
      <w:pPr>
        <w:pStyle w:val="10"/>
        <w:numPr>
          <w:ilvl w:val="0"/>
          <w:numId w:val="1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简介</w:t>
      </w:r>
    </w:p>
    <w:p>
      <w:pPr>
        <w:pStyle w:val="10"/>
        <w:numPr>
          <w:numId w:val="0"/>
        </w:numPr>
        <w:ind w:leftChars="0"/>
        <w:rPr>
          <w:rFonts w:hint="default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 xml:space="preserve">    直观显示，无调用接口</w:t>
      </w:r>
    </w:p>
    <w:p>
      <w:pPr>
        <w:pStyle w:val="10"/>
        <w:numPr>
          <w:ilvl w:val="0"/>
          <w:numId w:val="1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MPDU的用途及应用领域</w:t>
      </w:r>
    </w:p>
    <w:p>
      <w:pPr>
        <w:pStyle w:val="10"/>
        <w:numPr>
          <w:numId w:val="0"/>
        </w:numPr>
        <w:ind w:leftChars="0"/>
        <w:rPr>
          <w:rFonts w:hint="default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 xml:space="preserve">    IDC，常规机房，执行标准YD/T 2063-2009</w:t>
      </w:r>
      <w:bookmarkStart w:id="0" w:name="_GoBack"/>
      <w:bookmarkEnd w:id="0"/>
    </w:p>
    <w:p>
      <w:pPr>
        <w:pStyle w:val="10"/>
        <w:numPr>
          <w:ilvl w:val="0"/>
          <w:numId w:val="1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产品特点与功能</w:t>
      </w:r>
    </w:p>
    <w:p>
      <w:pPr>
        <w:pStyle w:val="10"/>
        <w:numPr>
          <w:ilvl w:val="0"/>
          <w:numId w:val="2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特点：</w:t>
      </w:r>
    </w:p>
    <w:p>
      <w:pPr>
        <w:pStyle w:val="10"/>
        <w:ind w:left="780" w:firstLine="0"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总电流；（可精确到0.00A）</w:t>
      </w:r>
    </w:p>
    <w:p>
      <w:pPr>
        <w:pStyle w:val="10"/>
        <w:ind w:left="780" w:firstLine="0"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总电压；（可精确到0.1V）；</w:t>
      </w:r>
    </w:p>
    <w:p>
      <w:pPr>
        <w:pStyle w:val="10"/>
        <w:ind w:left="780" w:firstLine="0"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总功率；</w:t>
      </w:r>
    </w:p>
    <w:p>
      <w:pPr>
        <w:pStyle w:val="10"/>
        <w:ind w:left="780" w:firstLine="0"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总电能；</w:t>
      </w:r>
    </w:p>
    <w:p>
      <w:pPr>
        <w:pStyle w:val="10"/>
        <w:numPr>
          <w:ilvl w:val="0"/>
          <w:numId w:val="2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功能介绍：</w:t>
      </w:r>
    </w:p>
    <w:p>
      <w:pPr>
        <w:pStyle w:val="10"/>
        <w:numPr>
          <w:ilvl w:val="0"/>
          <w:numId w:val="3"/>
        </w:numPr>
        <w:ind w:firstLineChars="0"/>
        <w:rPr>
          <w:rFonts w:ascii="华文楷体" w:hAnsi="华文楷体" w:eastAsia="华文楷体" w:cs="宋体"/>
          <w:kern w:val="0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可通过LCD或数码管配合按键</w:t>
      </w:r>
      <w:r>
        <w:rPr>
          <w:rFonts w:hint="eastAsia" w:ascii="华文楷体" w:hAnsi="华文楷体" w:eastAsia="华文楷体" w:cs="宋体"/>
          <w:kern w:val="0"/>
          <w:sz w:val="24"/>
          <w:szCs w:val="24"/>
        </w:rPr>
        <w:t>查看监测的总负载电流、总电压、总功率、总电能、功率因数；</w:t>
      </w:r>
    </w:p>
    <w:p>
      <w:pPr>
        <w:pStyle w:val="10"/>
        <w:numPr>
          <w:ilvl w:val="0"/>
          <w:numId w:val="3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告警，可手动设置总电流，总电压上限，告警方式：LCD或数码管闪烁，蜂鸣器蜂鸣，</w:t>
      </w:r>
    </w:p>
    <w:p>
      <w:pPr>
        <w:rPr>
          <w:rFonts w:ascii="华文楷体" w:hAnsi="华文楷体" w:eastAsia="华文楷体"/>
          <w:sz w:val="24"/>
          <w:szCs w:val="24"/>
        </w:rPr>
      </w:pPr>
    </w:p>
    <w:p>
      <w:pPr>
        <w:rPr>
          <w:rFonts w:ascii="华文楷体" w:hAnsi="华文楷体" w:eastAsia="华文楷体"/>
          <w:sz w:val="24"/>
          <w:szCs w:val="24"/>
        </w:rPr>
      </w:pPr>
    </w:p>
    <w:p>
      <w:pPr>
        <w:rPr>
          <w:rFonts w:ascii="华文楷体" w:hAnsi="华文楷体" w:eastAsia="华文楷体"/>
          <w:sz w:val="24"/>
          <w:szCs w:val="24"/>
        </w:rPr>
      </w:pPr>
    </w:p>
    <w:p>
      <w:pPr>
        <w:rPr>
          <w:rFonts w:ascii="华文楷体" w:hAnsi="华文楷体" w:eastAsia="华文楷体"/>
          <w:sz w:val="24"/>
          <w:szCs w:val="24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硬件介绍</w:t>
      </w:r>
    </w:p>
    <w:p>
      <w:pPr>
        <w:pStyle w:val="10"/>
        <w:ind w:left="420" w:firstLine="0" w:firstLineChars="0"/>
        <w:rPr>
          <w:rFonts w:ascii="华文楷体" w:hAnsi="华文楷体" w:eastAsia="华文楷体"/>
          <w:sz w:val="24"/>
          <w:szCs w:val="24"/>
        </w:rPr>
      </w:pP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drawing>
          <wp:inline distT="0" distB="0" distL="114300" distR="114300">
            <wp:extent cx="4977765" cy="7763510"/>
            <wp:effectExtent l="0" t="0" r="13335" b="8890"/>
            <wp:docPr id="3" name="图片 3" descr="插座详情页英文(1)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插座详情页英文(1)_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7765" cy="776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4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数码管</w:t>
      </w:r>
    </w:p>
    <w:p>
      <w:pPr>
        <w:pStyle w:val="10"/>
        <w:numPr>
          <w:ilvl w:val="0"/>
          <w:numId w:val="4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R</w:t>
      </w:r>
      <w:r>
        <w:rPr>
          <w:rFonts w:hint="eastAsia" w:ascii="华文楷体" w:hAnsi="华文楷体" w:eastAsia="华文楷体"/>
          <w:sz w:val="24"/>
          <w:szCs w:val="24"/>
        </w:rPr>
        <w:t>UN 运行灯</w:t>
      </w:r>
    </w:p>
    <w:p>
      <w:pPr>
        <w:pStyle w:val="10"/>
        <w:numPr>
          <w:ilvl w:val="0"/>
          <w:numId w:val="4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ALARM 异常故障灯</w:t>
      </w:r>
    </w:p>
    <w:p>
      <w:pPr>
        <w:pStyle w:val="10"/>
        <w:numPr>
          <w:ilvl w:val="0"/>
          <w:numId w:val="4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MENU 按键</w:t>
      </w:r>
    </w:p>
    <w:p>
      <w:pPr>
        <w:pStyle w:val="10"/>
        <w:numPr>
          <w:ilvl w:val="0"/>
          <w:numId w:val="4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UP 按键</w:t>
      </w:r>
    </w:p>
    <w:p>
      <w:pPr>
        <w:pStyle w:val="10"/>
        <w:numPr>
          <w:ilvl w:val="0"/>
          <w:numId w:val="4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DOWN 按键</w:t>
      </w:r>
    </w:p>
    <w:p>
      <w:pPr>
        <w:pStyle w:val="10"/>
        <w:numPr>
          <w:ilvl w:val="0"/>
          <w:numId w:val="4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串口RS-485（MPDU-S 才有串口）</w:t>
      </w:r>
    </w:p>
    <w:p>
      <w:pPr>
        <w:rPr>
          <w:rFonts w:ascii="华文楷体" w:hAnsi="华文楷体" w:eastAsia="华文楷体"/>
          <w:sz w:val="24"/>
          <w:szCs w:val="24"/>
        </w:rPr>
      </w:pPr>
    </w:p>
    <w:p>
      <w:pPr>
        <w:pStyle w:val="10"/>
        <w:numPr>
          <w:ilvl w:val="0"/>
          <w:numId w:val="2"/>
        </w:numPr>
        <w:ind w:firstLineChars="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按键操作</w:t>
      </w:r>
    </w:p>
    <w:p/>
    <w:p>
      <w:r>
        <w:rPr>
          <w:rFonts w:hint="eastAsia"/>
        </w:rPr>
        <w:t>七、技术参数</w:t>
      </w:r>
    </w:p>
    <w:tbl>
      <w:tblPr>
        <w:tblStyle w:val="6"/>
        <w:tblW w:w="79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1316"/>
        <w:gridCol w:w="4922"/>
        <w:gridCol w:w="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29" w:type="dxa"/>
            <w:tcBorders>
              <w:left w:val="single" w:color="auto" w:sz="4" w:space="0"/>
              <w:bottom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bCs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b/>
                <w:bCs/>
                <w:kern w:val="0"/>
                <w:sz w:val="20"/>
                <w:szCs w:val="21"/>
              </w:rPr>
              <w:t>主要性能</w:t>
            </w:r>
          </w:p>
        </w:tc>
        <w:tc>
          <w:tcPr>
            <w:tcW w:w="6260" w:type="dxa"/>
            <w:gridSpan w:val="3"/>
            <w:tcBorders>
              <w:left w:val="single" w:color="auto" w:sz="4" w:space="0"/>
              <w:bottom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b/>
                <w:bCs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b/>
                <w:bCs/>
                <w:kern w:val="0"/>
                <w:sz w:val="20"/>
                <w:szCs w:val="21"/>
              </w:rPr>
              <w:t>技术性能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729" w:type="dxa"/>
            <w:vMerge w:val="restart"/>
            <w:tcBorders>
              <w:top w:val="single" w:color="auto" w:sz="4" w:space="0"/>
              <w:left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监测</w:t>
            </w:r>
          </w:p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功能</w:t>
            </w:r>
          </w:p>
        </w:tc>
        <w:tc>
          <w:tcPr>
            <w:tcW w:w="6260" w:type="dxa"/>
            <w:gridSpan w:val="3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总负载电流的监测；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总输入电压的监测；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3"/>
              <w:jc w:val="both"/>
              <w:rPr>
                <w:rFonts w:asciiTheme="majorEastAsia" w:hAnsiTheme="majorEastAsia" w:eastAsiaTheme="majorEastAsia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kern w:val="2"/>
                <w:sz w:val="21"/>
                <w:szCs w:val="21"/>
              </w:rPr>
              <w:t>总负载功率的监测；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总电能用量的监测；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729" w:type="dxa"/>
            <w:vMerge w:val="restart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阀值设定功能</w:t>
            </w:r>
          </w:p>
        </w:tc>
        <w:tc>
          <w:tcPr>
            <w:tcW w:w="6260" w:type="dxa"/>
            <w:gridSpan w:val="3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总负载电流上的设置；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总输入过压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上的设置；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58" w:hRule="atLeast"/>
          <w:jc w:val="center"/>
        </w:trPr>
        <w:tc>
          <w:tcPr>
            <w:tcW w:w="1729" w:type="dxa"/>
            <w:vMerge w:val="restart"/>
            <w:tcBorders>
              <w:top w:val="single" w:color="auto" w:sz="4" w:space="0"/>
              <w:left w:val="single" w:color="auto" w:sz="4" w:space="0"/>
              <w:tl2br w:val="nil"/>
            </w:tcBorders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告警</w:t>
            </w:r>
          </w:p>
          <w:p>
            <w:pPr>
              <w:rPr>
                <w:rFonts w:cs="Times New Roman" w:asciiTheme="majorEastAsia" w:hAnsiTheme="majorEastAsia" w:eastAsiaTheme="majorEastAsia"/>
                <w:bCs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功能</w:t>
            </w:r>
          </w:p>
        </w:tc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tl2br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告警内容</w:t>
            </w:r>
          </w:p>
        </w:tc>
        <w:tc>
          <w:tcPr>
            <w:tcW w:w="4922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总负载电流过载告警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39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316" w:type="dxa"/>
            <w:vMerge w:val="continue"/>
            <w:tcBorders>
              <w:left w:val="single" w:color="auto" w:sz="4" w:space="0"/>
              <w:tl2br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4922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输入总电压过压告警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421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bCs/>
                <w:kern w:val="0"/>
                <w:sz w:val="20"/>
                <w:szCs w:val="21"/>
              </w:rPr>
            </w:pPr>
          </w:p>
        </w:tc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告警方式</w:t>
            </w:r>
          </w:p>
        </w:tc>
        <w:tc>
          <w:tcPr>
            <w:tcW w:w="4922" w:type="dxa"/>
            <w:tcBorders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蜂鸣器蜂鸣；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10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bCs/>
                <w:kern w:val="0"/>
                <w:sz w:val="20"/>
                <w:szCs w:val="21"/>
              </w:rPr>
            </w:pPr>
          </w:p>
        </w:tc>
        <w:tc>
          <w:tcPr>
            <w:tcW w:w="1316" w:type="dxa"/>
            <w:vMerge w:val="continue"/>
            <w:tcBorders>
              <w:left w:val="single" w:color="auto" w:sz="4" w:space="0"/>
              <w:tl2br w:val="nil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bCs/>
                <w:kern w:val="0"/>
                <w:sz w:val="20"/>
                <w:szCs w:val="21"/>
              </w:rPr>
            </w:pPr>
          </w:p>
        </w:tc>
        <w:tc>
          <w:tcPr>
            <w:tcW w:w="4922" w:type="dxa"/>
            <w:tcBorders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bCs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421" w:hRule="atLeast"/>
          <w:jc w:val="center"/>
        </w:trPr>
        <w:tc>
          <w:tcPr>
            <w:tcW w:w="1729" w:type="dxa"/>
            <w:vMerge w:val="restart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jc w:val="center"/>
              <w:rPr>
                <w:rFonts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  <w:t>串口通信功能</w:t>
            </w:r>
          </w:p>
          <w:p>
            <w:pPr>
              <w:pStyle w:val="12"/>
              <w:ind w:firstLine="0" w:firstLineChars="0"/>
              <w:jc w:val="center"/>
              <w:rPr>
                <w:rFonts w:asciiTheme="majorEastAsia" w:hAnsiTheme="majorEastAsia" w:eastAsiaTheme="majorEastAsia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jc w:val="center"/>
              <w:rPr>
                <w:rFonts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  <w:t>端口定义</w:t>
            </w:r>
          </w:p>
        </w:tc>
        <w:tc>
          <w:tcPr>
            <w:tcW w:w="4922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  <w:lang w:val="en-US" w:eastAsia="zh-CN"/>
              </w:rPr>
              <w:t>不支持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62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ind w:left="420" w:hanging="420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jc w:val="center"/>
              <w:rPr>
                <w:rFonts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  <w:t>通讯协议</w:t>
            </w:r>
          </w:p>
        </w:tc>
        <w:tc>
          <w:tcPr>
            <w:tcW w:w="4922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  <w:lang w:val="en-US" w:eastAsia="zh-CN"/>
              </w:rPr>
              <w:t>不支持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61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ind w:left="420" w:hanging="420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316" w:type="dxa"/>
            <w:tcBorders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jc w:val="center"/>
              <w:rPr>
                <w:rFonts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  <w:t>通讯地址</w:t>
            </w:r>
          </w:p>
        </w:tc>
        <w:tc>
          <w:tcPr>
            <w:tcW w:w="4922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  <w:lang w:val="en-US" w:eastAsia="zh-CN"/>
              </w:rPr>
              <w:t>不支持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422" w:hRule="atLeast"/>
          <w:jc w:val="center"/>
        </w:trPr>
        <w:tc>
          <w:tcPr>
            <w:tcW w:w="1729" w:type="dxa"/>
            <w:vMerge w:val="continue"/>
            <w:tcBorders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ind w:left="420" w:hanging="420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jc w:val="center"/>
              <w:rPr>
                <w:rFonts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</w:rPr>
              <w:t>波特率</w:t>
            </w:r>
          </w:p>
        </w:tc>
        <w:tc>
          <w:tcPr>
            <w:tcW w:w="4922" w:type="dxa"/>
            <w:tcBorders>
              <w:top w:val="single" w:color="auto" w:sz="4" w:space="0"/>
              <w:left w:val="single" w:color="auto" w:sz="4" w:space="0"/>
              <w:tl2br w:val="nil"/>
            </w:tcBorders>
            <w:shd w:val="clear" w:color="auto" w:fill="auto"/>
            <w:vAlign w:val="center"/>
          </w:tcPr>
          <w:p>
            <w:pPr>
              <w:pStyle w:val="12"/>
              <w:ind w:firstLine="0" w:firstLineChars="0"/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i w:val="0"/>
                <w:iCs w:val="0"/>
                <w:color w:val="auto"/>
                <w:kern w:val="0"/>
                <w:sz w:val="20"/>
                <w:szCs w:val="21"/>
                <w:lang w:val="en-US" w:eastAsia="zh-CN"/>
              </w:rPr>
              <w:t>不支持</w:t>
            </w:r>
          </w:p>
        </w:tc>
      </w:tr>
    </w:tbl>
    <w:p/>
    <w:p/>
    <w:p/>
    <w:p/>
    <w:p/>
    <w:p/>
    <w:p/>
    <w:p/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八、输入输出特性</w:t>
      </w:r>
    </w:p>
    <w:tbl>
      <w:tblPr>
        <w:tblStyle w:val="6"/>
        <w:tblW w:w="8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4"/>
        <w:gridCol w:w="795"/>
        <w:gridCol w:w="1896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545" w:type="dxa"/>
            <w:gridSpan w:val="3"/>
            <w:vAlign w:val="center"/>
          </w:tcPr>
          <w:p>
            <w:pPr>
              <w:widowControl/>
              <w:jc w:val="center"/>
              <w:rPr>
                <w:rFonts w:cs="Times New Roman" w:asciiTheme="majorEastAsia" w:hAnsiTheme="majorEastAsia" w:eastAsiaTheme="majorEastAsia"/>
                <w:b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b/>
                <w:kern w:val="0"/>
                <w:sz w:val="20"/>
                <w:szCs w:val="21"/>
              </w:rPr>
              <w:t>性能参数</w:t>
            </w: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b/>
                <w:kern w:val="0"/>
                <w:sz w:val="20"/>
                <w:szCs w:val="21"/>
              </w:rPr>
              <w:t>技术指标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输入特性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单相</w:t>
            </w: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额定输入电压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110/220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V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  50/60HZ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795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最大总负载电流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16A</w:t>
            </w:r>
          </w:p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32A</w:t>
            </w:r>
          </w:p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63A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输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出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特性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单相</w:t>
            </w: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输出电压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110/220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VAC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  50/60HZ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795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最大总负载电流</w:t>
            </w:r>
          </w:p>
        </w:tc>
        <w:tc>
          <w:tcPr>
            <w:tcW w:w="3493" w:type="dxa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16A</w:t>
            </w:r>
          </w:p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32A</w:t>
            </w:r>
          </w:p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63A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显示特性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显示</w:t>
            </w:r>
          </w:p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LCD</w:t>
            </w:r>
          </w:p>
        </w:tc>
        <w:tc>
          <w:tcPr>
            <w:tcW w:w="3493" w:type="dxa"/>
            <w:vMerge w:val="restart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可显示输入总电压、总电流、总功率、总电能用量等；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795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数码管</w:t>
            </w:r>
          </w:p>
        </w:tc>
        <w:tc>
          <w:tcPr>
            <w:tcW w:w="3493" w:type="dxa"/>
            <w:vMerge w:val="continue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795" w:type="dxa"/>
            <w:vMerge w:val="restart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显示</w:t>
            </w:r>
          </w:p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精度</w:t>
            </w: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总电压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ind w:left="200" w:hanging="200" w:hangingChars="100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满量程：300V 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准确度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：±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1﹪+2字</w:t>
            </w:r>
          </w:p>
          <w:p>
            <w:pPr>
              <w:ind w:left="200" w:hanging="200" w:hangingChars="100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分辨率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：0.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1V   响应时间：400ms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795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总电流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ind w:left="200" w:hanging="200" w:hangingChars="100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满量程：32A    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准确度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：±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1﹪+1字</w:t>
            </w:r>
          </w:p>
          <w:p>
            <w:pPr>
              <w:ind w:right="178" w:rightChars="85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分辨率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：0.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1A  响应时间：400ms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795" w:type="dxa"/>
            <w:vMerge w:val="continue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1896" w:type="dxa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总电能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常数：1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6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00imp/kWh    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等级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：1级</w:t>
            </w:r>
          </w:p>
          <w:p>
            <w:pPr>
              <w:ind w:left="200" w:hanging="200" w:hangingChars="100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>分辨率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：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  <w:lang w:val="en-GB"/>
              </w:rPr>
              <w:t xml:space="preserve"> 0.1kWh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物理特性</w:t>
            </w:r>
          </w:p>
        </w:tc>
        <w:tc>
          <w:tcPr>
            <w:tcW w:w="2691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热插/拔式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2691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外壳颜色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54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安装方式</w:t>
            </w:r>
          </w:p>
        </w:tc>
        <w:tc>
          <w:tcPr>
            <w:tcW w:w="6184" w:type="dxa"/>
            <w:gridSpan w:val="3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垂直固定安装；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环境</w:t>
            </w:r>
          </w:p>
        </w:tc>
        <w:tc>
          <w:tcPr>
            <w:tcW w:w="2691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工作温度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0℃~55℃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2691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相对湿度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10~90%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854" w:type="dxa"/>
            <w:vMerge w:val="continue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2691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存储温度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ind w:right="178" w:rightChars="85"/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-2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0℃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~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 xml:space="preserve"> +70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  <w:t>℃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854" w:type="dxa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2691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ind w:right="178" w:rightChars="85"/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854" w:type="dxa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2691" w:type="dxa"/>
            <w:gridSpan w:val="2"/>
            <w:vAlign w:val="center"/>
          </w:tcPr>
          <w:p>
            <w:pPr>
              <w:ind w:right="178" w:rightChars="85"/>
              <w:jc w:val="center"/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  <w:tc>
          <w:tcPr>
            <w:tcW w:w="3493" w:type="dxa"/>
            <w:tcMar>
              <w:left w:w="85" w:type="dxa"/>
              <w:right w:w="85" w:type="dxa"/>
            </w:tcMar>
            <w:vAlign w:val="center"/>
          </w:tcPr>
          <w:p>
            <w:pPr>
              <w:ind w:right="178" w:rightChars="85"/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</w:tbl>
    <w:p>
      <w:pPr>
        <w:rPr>
          <w:rFonts w:hint="eastAsia" w:ascii="华文楷体" w:hAnsi="华文楷体" w:eastAsia="华文楷体"/>
          <w:sz w:val="24"/>
          <w:szCs w:val="24"/>
          <w:lang w:eastAsia="zh-CN"/>
        </w:rPr>
      </w:pPr>
    </w:p>
    <w:p>
      <w:pPr>
        <w:rPr>
          <w:rFonts w:hint="eastAsia" w:ascii="华文楷体" w:hAnsi="华文楷体" w:eastAsia="华文楷体"/>
          <w:sz w:val="24"/>
          <w:szCs w:val="24"/>
          <w:lang w:eastAsia="zh-CN"/>
        </w:rPr>
      </w:pPr>
    </w:p>
    <w:p>
      <w:pPr>
        <w:rPr>
          <w:rFonts w:hint="eastAsia" w:ascii="华文楷体" w:hAnsi="华文楷体" w:eastAsia="华文楷体"/>
          <w:sz w:val="24"/>
          <w:szCs w:val="24"/>
          <w:lang w:eastAsia="zh-CN"/>
        </w:rPr>
      </w:pPr>
    </w:p>
    <w:p>
      <w:pPr>
        <w:rPr>
          <w:rFonts w:hint="eastAsia" w:ascii="华文楷体" w:hAnsi="华文楷体" w:eastAsia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sz w:val="24"/>
          <w:szCs w:val="24"/>
          <w:lang w:eastAsia="zh-CN"/>
        </w:rPr>
        <w:drawing>
          <wp:inline distT="0" distB="0" distL="114300" distR="114300">
            <wp:extent cx="5267325" cy="2967355"/>
            <wp:effectExtent l="0" t="0" r="9525" b="4445"/>
            <wp:docPr id="6" name="图片 6" descr="O1CN01kglfzF1yfawctgkTG_!!1801346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O1CN01kglfzF1yfawctgkTG_!!18013466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华文楷体" w:hAnsi="华文楷体" w:eastAsia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sz w:val="24"/>
          <w:szCs w:val="24"/>
          <w:lang w:eastAsia="zh-CN"/>
        </w:rPr>
        <w:drawing>
          <wp:inline distT="0" distB="0" distL="114300" distR="114300">
            <wp:extent cx="5267325" cy="3100070"/>
            <wp:effectExtent l="0" t="0" r="9525" b="5080"/>
            <wp:docPr id="10" name="图片 10" descr="O1CN01OngFCT1yfawULRwHg_!!1801346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O1CN01OngFCT1yfawULRwHg_!!18013466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0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华文楷体" w:hAnsi="华文楷体" w:eastAsia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sz w:val="24"/>
          <w:szCs w:val="24"/>
          <w:lang w:eastAsia="zh-CN"/>
        </w:rPr>
        <w:drawing>
          <wp:inline distT="0" distB="0" distL="114300" distR="114300">
            <wp:extent cx="5267325" cy="3387090"/>
            <wp:effectExtent l="0" t="0" r="9525" b="3810"/>
            <wp:docPr id="12" name="图片 12" descr="O1CN01hMaaxD1yfawbk16dD_!!1801346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O1CN01hMaaxD1yfawbk16dD_!!18013466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8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华文楷体" w:hAnsi="华文楷体" w:eastAsia="华文楷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15AEA"/>
    <w:multiLevelType w:val="multilevel"/>
    <w:tmpl w:val="09315AEA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9B1F81"/>
    <w:multiLevelType w:val="multilevel"/>
    <w:tmpl w:val="099B1F8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1C49C1"/>
    <w:multiLevelType w:val="multilevel"/>
    <w:tmpl w:val="131C49C1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DFC2527"/>
    <w:multiLevelType w:val="multilevel"/>
    <w:tmpl w:val="6DFC2527"/>
    <w:lvl w:ilvl="0" w:tentative="0">
      <w:start w:val="1"/>
      <w:numFmt w:val="decimal"/>
      <w:lvlText w:val="%1、"/>
      <w:lvlJc w:val="left"/>
      <w:pPr>
        <w:ind w:left="1500" w:hanging="720"/>
      </w:pPr>
      <w:rPr>
        <w:rFonts w:hint="default" w:cstheme="minorBidi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68A"/>
    <w:rsid w:val="000B6C6F"/>
    <w:rsid w:val="001B2738"/>
    <w:rsid w:val="003257CA"/>
    <w:rsid w:val="003D2DDA"/>
    <w:rsid w:val="004626E4"/>
    <w:rsid w:val="0057017E"/>
    <w:rsid w:val="005C1BB1"/>
    <w:rsid w:val="005F3302"/>
    <w:rsid w:val="0069526C"/>
    <w:rsid w:val="006A4260"/>
    <w:rsid w:val="006D6ACB"/>
    <w:rsid w:val="007F36D6"/>
    <w:rsid w:val="0091268A"/>
    <w:rsid w:val="009C2E11"/>
    <w:rsid w:val="00A1370F"/>
    <w:rsid w:val="00B656B8"/>
    <w:rsid w:val="00BC38A6"/>
    <w:rsid w:val="00D15A5E"/>
    <w:rsid w:val="00D81BDF"/>
    <w:rsid w:val="00E80BCD"/>
    <w:rsid w:val="00F133FB"/>
    <w:rsid w:val="00FC230F"/>
    <w:rsid w:val="1AF75B2F"/>
    <w:rsid w:val="53BF7C26"/>
    <w:rsid w:val="58FE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  <w:style w:type="paragraph" w:customStyle="1" w:styleId="12">
    <w:name w:val="样式 编写建议 + 首行缩进:  1.27 字符1"/>
    <w:basedOn w:val="1"/>
    <w:uiPriority w:val="0"/>
    <w:pPr>
      <w:ind w:firstLine="200" w:firstLineChars="200"/>
    </w:pPr>
    <w:rPr>
      <w:rFonts w:ascii="Arial" w:hAnsi="Arial" w:eastAsia="宋体" w:cs="宋体"/>
      <w:i/>
      <w:iCs/>
      <w:color w:val="0000FF"/>
      <w:szCs w:val="20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187</Words>
  <Characters>1066</Characters>
  <Lines>8</Lines>
  <Paragraphs>2</Paragraphs>
  <TotalTime>6</TotalTime>
  <ScaleCrop>false</ScaleCrop>
  <LinksUpToDate>false</LinksUpToDate>
  <CharactersWithSpaces>1251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2017-11-06T08:56:00Z</dcterms:created>
  <dc:creator>zhang</dc:creator>
  <cp:lastModifiedBy>华山论剑</cp:lastModifiedBy>
  <dcterms:modified xsi:type="dcterms:W3CDTF">2021-06-25T03:31:37Z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2FDFFE69602645AE865E823D0D963E2D</vt:lpwstr>
  </property>
</Properties>
</file>